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3B96BE" w14:textId="77777777" w:rsidR="009B729A" w:rsidRDefault="005A693E" w:rsidP="005A693E">
      <w:pPr>
        <w:jc w:val="center"/>
        <w:rPr>
          <w:i/>
          <w:iCs w:val="0"/>
        </w:rPr>
      </w:pPr>
      <w:r>
        <w:rPr>
          <w:i/>
          <w:iCs w:val="0"/>
        </w:rPr>
        <w:t>God’s Faithfulness and Our Sinfulness</w:t>
      </w:r>
    </w:p>
    <w:p w14:paraId="6912DF65" w14:textId="77777777" w:rsidR="005A693E" w:rsidRDefault="005A693E" w:rsidP="005A693E">
      <w:pPr>
        <w:jc w:val="center"/>
      </w:pPr>
      <w:r w:rsidRPr="005A693E">
        <w:t xml:space="preserve">Psalm 105 </w:t>
      </w:r>
      <w:r>
        <w:t>and 106</w:t>
      </w:r>
    </w:p>
    <w:p w14:paraId="141126DF" w14:textId="77777777" w:rsidR="005A693E" w:rsidRDefault="005A693E" w:rsidP="005A693E">
      <w:pPr>
        <w:jc w:val="center"/>
      </w:pPr>
      <w:r>
        <w:t>April 19, 2026 – Earth Care Sunday</w:t>
      </w:r>
    </w:p>
    <w:p w14:paraId="710CF22E" w14:textId="77777777" w:rsidR="005A693E" w:rsidRDefault="005A693E" w:rsidP="005A693E">
      <w:pPr>
        <w:jc w:val="center"/>
      </w:pPr>
      <w:r>
        <w:t>Lewinsville Presbyterian Church</w:t>
      </w:r>
    </w:p>
    <w:p w14:paraId="18B3BF42" w14:textId="77777777" w:rsidR="005A693E" w:rsidRDefault="005A693E" w:rsidP="005A693E">
      <w:pPr>
        <w:jc w:val="center"/>
      </w:pPr>
    </w:p>
    <w:p w14:paraId="42BCF3B5" w14:textId="77777777" w:rsidR="00F54663" w:rsidRDefault="00F54663" w:rsidP="00F54663">
      <w:r>
        <w:t>Let us pray: God of all the earth, all that is belongs to you. In your generosity and in your wisdom and in your mercy, you have given us the responsibility of caring for your earth and being its stewards. We pray that you will help us – individually and together – to hold this responsibility with great joy. In Christ we pray, Amen.</w:t>
      </w:r>
    </w:p>
    <w:p w14:paraId="65DE5173" w14:textId="77777777" w:rsidR="00F54663" w:rsidRDefault="00F54663" w:rsidP="00F54663"/>
    <w:p w14:paraId="1CE79BCB" w14:textId="77777777" w:rsidR="005A693E" w:rsidRDefault="005A693E" w:rsidP="00717959">
      <w:pPr>
        <w:spacing w:line="480" w:lineRule="auto"/>
      </w:pPr>
      <w:r>
        <w:tab/>
        <w:t xml:space="preserve">On this Earth Care Sunday, we have read selections from Psalm 105 and 106, which are a remarkable pair of psalms, and which </w:t>
      </w:r>
      <w:r w:rsidR="00B60034">
        <w:t>need to</w:t>
      </w:r>
      <w:r>
        <w:t xml:space="preserve"> be seen together. When our ancestors sat down to edit and arrange the book of Psalms, they included a </w:t>
      </w:r>
      <w:r w:rsidR="00B60034">
        <w:t xml:space="preserve">whole </w:t>
      </w:r>
      <w:r>
        <w:t xml:space="preserve">variety of various prayers. There are, as you may know, prayers of thanksgiving and praise, prayers of lament and complaint, prayers about the law, prayers about the holy city of Jerusalem, among other genres. But there are also what have come to be known as ‘historical psalms,’ and chief among these are 105 and 106, </w:t>
      </w:r>
      <w:proofErr w:type="gramStart"/>
      <w:r>
        <w:t>back to back</w:t>
      </w:r>
      <w:proofErr w:type="gramEnd"/>
      <w:r>
        <w:t xml:space="preserve">. These are teaching poems, written to teach people of faith about the history of Israel. These two psalms tell the story of Israel, but they do it in 2 different ways, </w:t>
      </w:r>
      <w:r>
        <w:rPr>
          <w:i/>
          <w:iCs w:val="0"/>
        </w:rPr>
        <w:t>both of which are true</w:t>
      </w:r>
      <w:r>
        <w:t xml:space="preserve">. You’re going to want to have your Bible open and in front of you because we didn’t have time to read all of these two psalms. </w:t>
      </w:r>
    </w:p>
    <w:p w14:paraId="7C508D9D" w14:textId="77777777" w:rsidR="005A693E" w:rsidRDefault="005A693E" w:rsidP="00717959">
      <w:pPr>
        <w:spacing w:line="480" w:lineRule="auto"/>
      </w:pPr>
      <w:r>
        <w:tab/>
        <w:t>Psalm 105 tells the story of Israel from the perspective of God’s mighty deeds and wonderful actions on behalf of Israel. “When they were few in number and wandering from nation to nation, God allowed no one to oppress them; he rebuked kings on their account. … He brought Israel out of Egypt with silver and gold, and there was no one among their tribes who stumbled….He opened the rock, and water gushed out; it flowed through the desert like a river….He brought his people out with joy … that they might keep his statutes and observe his laws. Praise the Lord!” Throughout their history, right up to the present, God has been good to the people of faith.</w:t>
      </w:r>
      <w:r>
        <w:br/>
      </w:r>
      <w:r>
        <w:lastRenderedPageBreak/>
        <w:tab/>
        <w:t xml:space="preserve"> As soon as you finish praying Israel’s history in Psalm 105, you get version 2 of Israel’s history in Psalm 106, this time told from the perspective of Israel’s sinfulness. “Both we and our ancestors have sinned; we have committed iniquity, have done wickedly. Our ancestors forgot the Lord’s works; they were jealous of </w:t>
      </w:r>
      <w:proofErr w:type="gramStart"/>
      <w:r>
        <w:t>Moses,</w:t>
      </w:r>
      <w:proofErr w:type="gramEnd"/>
      <w:r>
        <w:t xml:space="preserve"> they made a golden calf and worshiped a cast image. They despised the pleasant land, having no faith in his promise. … Save us, O Lord our God, and gather us from among the nations, that we may give thanks to your holy name, and glory in your praise.” Throughout their history, right up to the present moment, people of faith have been sinful and reckless and disobedient in our faith.</w:t>
      </w:r>
      <w:r w:rsidR="00B60034">
        <w:t xml:space="preserve"> It’s the same history, told in two different ways.</w:t>
      </w:r>
    </w:p>
    <w:p w14:paraId="3955BC31" w14:textId="77777777" w:rsidR="005A693E" w:rsidRDefault="005A693E" w:rsidP="00717959">
      <w:pPr>
        <w:spacing w:line="480" w:lineRule="auto"/>
      </w:pPr>
      <w:r>
        <w:tab/>
        <w:t>Which version of history is true? That God has been good? Or that we have been sinful? Of course, both are true. And either one of them without the other is incomplete. What may strike us is that</w:t>
      </w:r>
      <w:r w:rsidR="00B60034">
        <w:t>,</w:t>
      </w:r>
      <w:r>
        <w:t xml:space="preserve"> </w:t>
      </w:r>
      <w:r w:rsidR="00B60034">
        <w:t>sometimes, people</w:t>
      </w:r>
      <w:r>
        <w:t xml:space="preserve"> may want to tell the story of the church, or the story of the United States, or the story of the environment</w:t>
      </w:r>
      <w:r w:rsidR="00B60034">
        <w:t>,</w:t>
      </w:r>
      <w:r>
        <w:t xml:space="preserve"> from the perspective of all the things that we’ve done that are wrong and harmful. We might call that the Psalm 106 version of history. </w:t>
      </w:r>
      <w:r w:rsidR="00B60034">
        <w:t>Other people</w:t>
      </w:r>
      <w:r>
        <w:t xml:space="preserve"> may want to tell the story of the church, or the story of the United States, or the story of the environment, and only </w:t>
      </w:r>
      <w:r w:rsidR="00B60034">
        <w:t xml:space="preserve">talk about </w:t>
      </w:r>
      <w:r>
        <w:t xml:space="preserve">the good things that we have done. We might call that the Psalm 105 version of history. </w:t>
      </w:r>
      <w:r w:rsidR="00B60034">
        <w:t xml:space="preserve">We need both. </w:t>
      </w:r>
      <w:r w:rsidR="00DF2FD9">
        <w:t>There are efforts to censor the teaching of history, to eliminate the painful and shameful aspects of history, because they make people feel uncomfortable</w:t>
      </w:r>
      <w:r w:rsidR="00B60034">
        <w:t>; these efforts are misguided</w:t>
      </w:r>
      <w:r w:rsidR="00DF2FD9">
        <w:t>. But there can also be an effort to underreport the beautiful and wondrous aspects of history, which is misguided</w:t>
      </w:r>
      <w:r w:rsidR="00B60034">
        <w:t xml:space="preserve"> as well</w:t>
      </w:r>
      <w:r w:rsidR="00DF2FD9">
        <w:t>.</w:t>
      </w:r>
    </w:p>
    <w:p w14:paraId="29217CE4" w14:textId="77777777" w:rsidR="005A693E" w:rsidRDefault="005A693E" w:rsidP="00717959">
      <w:pPr>
        <w:spacing w:line="480" w:lineRule="auto"/>
      </w:pPr>
      <w:r>
        <w:tab/>
        <w:t>What the Bible knows, and what the church at our best has known</w:t>
      </w:r>
      <w:r w:rsidR="00DF2FD9">
        <w:t xml:space="preserve">, is that we must have both of these in order to have the full picture. If we tell our history, or consider the </w:t>
      </w:r>
      <w:r w:rsidR="00DF2FD9">
        <w:lastRenderedPageBreak/>
        <w:t xml:space="preserve">environment, and do not </w:t>
      </w:r>
      <w:r w:rsidR="00B60034">
        <w:t>pay attention to</w:t>
      </w:r>
      <w:r w:rsidR="00DF2FD9">
        <w:t xml:space="preserve"> the harms that </w:t>
      </w:r>
      <w:r w:rsidR="00B60034">
        <w:t xml:space="preserve">have been done and </w:t>
      </w:r>
      <w:r w:rsidR="00DF2FD9">
        <w:t>are being done</w:t>
      </w:r>
      <w:r w:rsidR="00B60034">
        <w:t xml:space="preserve"> now</w:t>
      </w:r>
      <w:r w:rsidR="00DF2FD9">
        <w:t xml:space="preserve">, we </w:t>
      </w:r>
      <w:r w:rsidR="00B60034">
        <w:t xml:space="preserve">can be engaging </w:t>
      </w:r>
      <w:r w:rsidR="00DF2FD9">
        <w:t xml:space="preserve">in denial that will prevent us from addressing and rectifying those harms. But if we only </w:t>
      </w:r>
      <w:r w:rsidR="00B60034">
        <w:t>dwell on</w:t>
      </w:r>
      <w:r w:rsidR="00DF2FD9">
        <w:t xml:space="preserve"> the harms and the sins that have been done, then we are failing to bear witness to God’s generosity and beauty and the new things that God is doing with us and among us. </w:t>
      </w:r>
    </w:p>
    <w:p w14:paraId="04C10F8C" w14:textId="77777777" w:rsidR="00DF2FD9" w:rsidRDefault="00DF2FD9" w:rsidP="00717959">
      <w:pPr>
        <w:spacing w:line="480" w:lineRule="auto"/>
      </w:pPr>
      <w:r>
        <w:tab/>
        <w:t xml:space="preserve">Stewardship for the earth is a core calling and a core responsibility for Christians. And </w:t>
      </w:r>
      <w:r w:rsidR="00B60034">
        <w:t xml:space="preserve">a key part of </w:t>
      </w:r>
      <w:r>
        <w:t xml:space="preserve">the truth is that we have not been, and are not, caring for the earth as we should. </w:t>
      </w:r>
      <w:r w:rsidR="00B60034">
        <w:t>One</w:t>
      </w:r>
      <w:r>
        <w:t xml:space="preserve"> of the difficult</w:t>
      </w:r>
      <w:r w:rsidR="00B60034">
        <w:t>ies</w:t>
      </w:r>
      <w:r>
        <w:t xml:space="preserve"> with our commitment to Earth Care is that </w:t>
      </w:r>
      <w:r w:rsidR="00B60034">
        <w:t xml:space="preserve">care for the earth </w:t>
      </w:r>
      <w:r>
        <w:t xml:space="preserve">can seem to have fallen off the radar screen these days. There are so many issues screaming at us, and the consequences of climate change and </w:t>
      </w:r>
      <w:r w:rsidR="00B60034">
        <w:t>our</w:t>
      </w:r>
      <w:r>
        <w:t xml:space="preserve"> over-reliance on non-renewable fossil fuels have fallen out of the headlines, even while the consequences of our behavior continue to unfold. </w:t>
      </w:r>
    </w:p>
    <w:p w14:paraId="7D7E23BB" w14:textId="77777777" w:rsidR="00DF2FD9" w:rsidRDefault="00DF2FD9" w:rsidP="00717959">
      <w:pPr>
        <w:spacing w:line="480" w:lineRule="auto"/>
      </w:pPr>
      <w:r>
        <w:tab/>
        <w:t xml:space="preserve">The emperor penguin, who was featured in the movie </w:t>
      </w:r>
      <w:r>
        <w:rPr>
          <w:i/>
          <w:iCs w:val="0"/>
        </w:rPr>
        <w:t>Happy Feet</w:t>
      </w:r>
      <w:r>
        <w:t>, has been classified as endangered because of the melting of sea ice they rely on for breeding and molting, according to the World Wildlife Fund.</w:t>
      </w:r>
      <w:r>
        <w:rPr>
          <w:rStyle w:val="FootnoteReference"/>
        </w:rPr>
        <w:footnoteReference w:id="1"/>
      </w:r>
      <w:r>
        <w:t xml:space="preserve"> The Antarctic Ice Sheet is melting and, overall, ice loss is eclipsing new snowfall, a process that has been going on for some time, according to the Antarctic and Southern Ocean Coalition. The decline of the ice sheet poses a threat to low-lying coastal cities around the world.</w:t>
      </w:r>
      <w:r>
        <w:rPr>
          <w:rStyle w:val="FootnoteReference"/>
        </w:rPr>
        <w:footnoteReference w:id="2"/>
      </w:r>
      <w:r>
        <w:t xml:space="preserve">  </w:t>
      </w:r>
    </w:p>
    <w:p w14:paraId="6B2DADC6" w14:textId="77777777" w:rsidR="00C54F72" w:rsidRDefault="00DF2FD9" w:rsidP="00717959">
      <w:pPr>
        <w:spacing w:line="480" w:lineRule="auto"/>
        <w:ind w:firstLine="720"/>
      </w:pPr>
      <w:r>
        <w:t xml:space="preserve">At the same time, while the federal government has been moving away from green and renewable energy, we are seeing state and local action </w:t>
      </w:r>
      <w:r w:rsidR="00C54F72">
        <w:t xml:space="preserve">moving towards renewable energy. According to reuters.com, the state of Texas </w:t>
      </w:r>
      <w:r w:rsidR="00B60034">
        <w:t xml:space="preserve">leads </w:t>
      </w:r>
      <w:r w:rsidR="00C54F72">
        <w:t xml:space="preserve">the nation in wind energy and </w:t>
      </w:r>
      <w:r w:rsidR="00C54F72">
        <w:lastRenderedPageBreak/>
        <w:t>solar energy projects.</w:t>
      </w:r>
      <w:r w:rsidR="00C54F72">
        <w:rPr>
          <w:rStyle w:val="FootnoteReference"/>
        </w:rPr>
        <w:footnoteReference w:id="3"/>
      </w:r>
      <w:r w:rsidR="00C54F72">
        <w:t xml:space="preserve"> In Colorado, 43% of electricity generated in the state was from renewable energy sources.</w:t>
      </w:r>
      <w:r w:rsidR="00C54F72">
        <w:rPr>
          <w:rStyle w:val="FootnoteReference"/>
        </w:rPr>
        <w:footnoteReference w:id="4"/>
      </w:r>
      <w:r w:rsidR="00C54F72">
        <w:t xml:space="preserve"> The state of North Dakota </w:t>
      </w:r>
      <w:r w:rsidR="00B60034">
        <w:t xml:space="preserve">also </w:t>
      </w:r>
      <w:r w:rsidR="00C54F72">
        <w:t>gets much of its electricity from renewable sources.</w:t>
      </w:r>
      <w:r w:rsidR="00C54F72">
        <w:rPr>
          <w:rStyle w:val="FootnoteReference"/>
        </w:rPr>
        <w:footnoteReference w:id="5"/>
      </w:r>
    </w:p>
    <w:p w14:paraId="527073E6" w14:textId="77777777" w:rsidR="00C54F72" w:rsidRDefault="00C54F72" w:rsidP="00717959">
      <w:pPr>
        <w:spacing w:line="480" w:lineRule="auto"/>
        <w:ind w:firstLine="720"/>
      </w:pPr>
      <w:r>
        <w:t xml:space="preserve">In the Bible, when Jesus and the prophets call our attention to human sinfulness, it is not to make us feel badly about ourselves. John 10 tells us that Jesus came so that we might have life abundant, not so that we could beat up on ourselves about all the </w:t>
      </w:r>
      <w:r w:rsidR="00B60034">
        <w:t xml:space="preserve">ways </w:t>
      </w:r>
      <w:r>
        <w:t xml:space="preserve">we’re </w:t>
      </w:r>
      <w:r w:rsidR="00B60034">
        <w:t>falling short</w:t>
      </w:r>
      <w:r>
        <w:t>. When Psalm 106, or the prophets, or Jesus call our attention to human sinfulness, they do so to get us to turn around, to change our behavior, to get us to wake up, to repent of our sin, to turn away from sin and its power in the world, and to follow Jesus as our Lord and Savior, to love our neighbors in new and better ways, both our human neighbors and our non-human neighbors.</w:t>
      </w:r>
    </w:p>
    <w:p w14:paraId="3F1B18D8" w14:textId="77777777" w:rsidR="00DF2FD9" w:rsidRDefault="00C54F72" w:rsidP="00717959">
      <w:pPr>
        <w:spacing w:line="480" w:lineRule="auto"/>
        <w:ind w:firstLine="720"/>
        <w:rPr>
          <w:color w:val="0B193B"/>
        </w:rPr>
      </w:pPr>
      <w:r w:rsidRPr="00EF3050">
        <w:t>A</w:t>
      </w:r>
      <w:r w:rsidR="00DF2FD9" w:rsidRPr="00EF3050">
        <w:t>s we were talking about with the children</w:t>
      </w:r>
      <w:r w:rsidRPr="00EF3050">
        <w:t xml:space="preserve"> earlier, one of the </w:t>
      </w:r>
      <w:r w:rsidR="00B60034">
        <w:t xml:space="preserve">very </w:t>
      </w:r>
      <w:r w:rsidRPr="00EF3050">
        <w:t xml:space="preserve">practical ways we can love our neighbors better is through </w:t>
      </w:r>
      <w:r w:rsidRPr="00B60034">
        <w:rPr>
          <w:i/>
          <w:iCs w:val="0"/>
        </w:rPr>
        <w:t>caring for trees</w:t>
      </w:r>
      <w:r w:rsidRPr="00EF3050">
        <w:t xml:space="preserve">. Cultivating tree canopies in urban and civic spaces, planting trees, is one of many positive acts that we can take. </w:t>
      </w:r>
      <w:r w:rsidR="00B60034">
        <w:t xml:space="preserve">In </w:t>
      </w:r>
      <w:r w:rsidRPr="00EF3050">
        <w:t xml:space="preserve">urban areas there is </w:t>
      </w:r>
      <w:r w:rsidR="00B60034">
        <w:t xml:space="preserve">usually </w:t>
      </w:r>
      <w:r w:rsidRPr="00EF3050">
        <w:t xml:space="preserve">a correlation between the number of trees in an area and the levels of poverty in that area. The </w:t>
      </w:r>
      <w:r w:rsidR="00EF3050">
        <w:t xml:space="preserve">conservation nonprofit known as </w:t>
      </w:r>
      <w:r w:rsidRPr="00EF3050">
        <w:t xml:space="preserve">American Forest </w:t>
      </w:r>
      <w:r w:rsidR="00EF3050">
        <w:t xml:space="preserve">has </w:t>
      </w:r>
      <w:r w:rsidRPr="00EF3050">
        <w:t>found that ‘</w:t>
      </w:r>
      <w:r w:rsidR="00EF3050" w:rsidRPr="00EF3050">
        <w:rPr>
          <w:color w:val="0B193B"/>
        </w:rPr>
        <w:t>lower-income communities have</w:t>
      </w:r>
      <w:r w:rsidR="00EF3050">
        <w:rPr>
          <w:color w:val="0B193B"/>
        </w:rPr>
        <w:t>,</w:t>
      </w:r>
      <w:r w:rsidR="00EF3050" w:rsidRPr="00EF3050">
        <w:rPr>
          <w:color w:val="0B193B"/>
        </w:rPr>
        <w:t xml:space="preserve"> on average</w:t>
      </w:r>
      <w:r w:rsidR="00EF3050">
        <w:rPr>
          <w:color w:val="0B193B"/>
        </w:rPr>
        <w:t>,</w:t>
      </w:r>
      <w:r w:rsidR="00EF3050" w:rsidRPr="00EF3050">
        <w:rPr>
          <w:color w:val="0B193B"/>
        </w:rPr>
        <w:t xml:space="preserve"> 26% less tree cover and are six degrees hotter than wealthier ones. Communities with a majority of people of color have 38% less tree cover and are almost 13 degrees higher than majority-white neighborhoods.</w:t>
      </w:r>
      <w:r w:rsidR="00EF3050">
        <w:rPr>
          <w:color w:val="0B193B"/>
        </w:rPr>
        <w:t>”</w:t>
      </w:r>
      <w:r w:rsidR="00EF3050">
        <w:rPr>
          <w:rStyle w:val="FootnoteReference"/>
          <w:color w:val="0B193B"/>
        </w:rPr>
        <w:footnoteReference w:id="6"/>
      </w:r>
      <w:r w:rsidR="00EF3050" w:rsidRPr="00EF3050">
        <w:rPr>
          <w:color w:val="0B193B"/>
        </w:rPr>
        <w:t xml:space="preserve"> </w:t>
      </w:r>
      <w:r w:rsidR="00EF3050">
        <w:rPr>
          <w:color w:val="0B193B"/>
        </w:rPr>
        <w:t xml:space="preserve">Having fewer trees can correlate with health outcomes due to heat, higher utility bills, flood </w:t>
      </w:r>
      <w:r w:rsidR="00EF3050">
        <w:rPr>
          <w:color w:val="0B193B"/>
        </w:rPr>
        <w:lastRenderedPageBreak/>
        <w:t>mitigation problems, psychological well-being, and more.</w:t>
      </w:r>
      <w:r w:rsidR="00B60034">
        <w:rPr>
          <w:color w:val="0B193B"/>
        </w:rPr>
        <w:t xml:space="preserve"> Developing tree canopies can lead to measurably positive outcomes; it is not a fix-all, but it is a step in the right direction.</w:t>
      </w:r>
    </w:p>
    <w:p w14:paraId="0D94EB97" w14:textId="77777777" w:rsidR="00B60034" w:rsidRDefault="00B60034" w:rsidP="00717959">
      <w:pPr>
        <w:spacing w:line="480" w:lineRule="auto"/>
        <w:ind w:firstLine="720"/>
        <w:rPr>
          <w:color w:val="0B193B"/>
        </w:rPr>
      </w:pPr>
      <w:r>
        <w:rPr>
          <w:color w:val="0B193B"/>
        </w:rPr>
        <w:t>One of my big take-aways from our Salzman Lecture earlier this year, by Dr. Mark Stoll from Texas Tech, was that in order to make progress on the environmental challenges we are facing, it is going to take more than individual acts of environmentalism. Individual acts alone will not get us there. We are going to need to work together, we’re going to need people who organize at the local, state, and federal levels to pass legislation and implement regulations to care for our planet.</w:t>
      </w:r>
    </w:p>
    <w:p w14:paraId="251EC085" w14:textId="77777777" w:rsidR="00B60034" w:rsidRDefault="00717959" w:rsidP="00717959">
      <w:pPr>
        <w:spacing w:line="480" w:lineRule="auto"/>
        <w:ind w:firstLine="720"/>
      </w:pPr>
      <w:r>
        <w:t xml:space="preserve">Psalm 105 and 106, though they tell the history of Israel in 2 different ways, both conclude by summoning us to ‘Praise the Lord.” These two psalms, together, model for us a comprehensive, balanced approach to life -whether we’re telling the history of our country, considering the well-being of the earth, or telling our own personal stories. We need to be mindful of the many blessings that surround us on every side, and for which we can be grateful. And we need to be mindful and conscious of the wrongs that we have done and are doing, without becoming defensive, so that we can make amends for them. </w:t>
      </w:r>
      <w:r w:rsidR="003C4BEC">
        <w:t>Doing both of those things</w:t>
      </w:r>
      <w:r>
        <w:t xml:space="preserve"> is a key way for us to praise the Lord. To God and to God alone be all the glory. Amen.</w:t>
      </w:r>
    </w:p>
    <w:p w14:paraId="27CC7ECB" w14:textId="77777777" w:rsidR="00F54663" w:rsidRPr="00EF3050" w:rsidRDefault="00F54663" w:rsidP="00F54663">
      <w:r>
        <w:t>Let us pray: All things belong to you, Lord. All things. The things we can see, and the things we cannot see. It all belongs to you. Breathe your life-giving, life-nurturing, life-sustaining Spirit into our churches, into our community organizations, into our governments, so that we can collectively love your good creation. In Christ, we pray. Amen.</w:t>
      </w:r>
    </w:p>
    <w:sectPr w:rsidR="00F54663" w:rsidRPr="00EF3050" w:rsidSect="005B7B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E1410F" w14:textId="77777777" w:rsidR="00512FBA" w:rsidRDefault="00512FBA" w:rsidP="00DF2FD9">
      <w:r>
        <w:separator/>
      </w:r>
    </w:p>
  </w:endnote>
  <w:endnote w:type="continuationSeparator" w:id="0">
    <w:p w14:paraId="778FEAB1" w14:textId="77777777" w:rsidR="00512FBA" w:rsidRDefault="00512FBA" w:rsidP="00DF2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0898B3" w14:textId="77777777" w:rsidR="00512FBA" w:rsidRDefault="00512FBA" w:rsidP="00DF2FD9">
      <w:r>
        <w:separator/>
      </w:r>
    </w:p>
  </w:footnote>
  <w:footnote w:type="continuationSeparator" w:id="0">
    <w:p w14:paraId="18288091" w14:textId="77777777" w:rsidR="00512FBA" w:rsidRDefault="00512FBA" w:rsidP="00DF2FD9">
      <w:r>
        <w:continuationSeparator/>
      </w:r>
    </w:p>
  </w:footnote>
  <w:footnote w:id="1">
    <w:p w14:paraId="69430479" w14:textId="77777777" w:rsidR="00DF2FD9" w:rsidRDefault="00DF2FD9">
      <w:pPr>
        <w:pStyle w:val="FootnoteText"/>
      </w:pPr>
      <w:r>
        <w:rPr>
          <w:rStyle w:val="FootnoteReference"/>
        </w:rPr>
        <w:footnoteRef/>
      </w:r>
      <w:r>
        <w:t xml:space="preserve"> </w:t>
      </w:r>
      <w:r w:rsidRPr="00DF2FD9">
        <w:t>https://www.worldwildlife.org/news/stories/emperor-penguins-now-listed-as-endangered/</w:t>
      </w:r>
    </w:p>
  </w:footnote>
  <w:footnote w:id="2">
    <w:p w14:paraId="4B0F76EA" w14:textId="77777777" w:rsidR="00DF2FD9" w:rsidRDefault="00DF2FD9">
      <w:pPr>
        <w:pStyle w:val="FootnoteText"/>
      </w:pPr>
      <w:r>
        <w:rPr>
          <w:rStyle w:val="FootnoteReference"/>
        </w:rPr>
        <w:footnoteRef/>
      </w:r>
      <w:r>
        <w:t xml:space="preserve"> </w:t>
      </w:r>
      <w:r w:rsidRPr="00DF2FD9">
        <w:t>https://www.asoc.org/learn/antarctic-ice-and-rising-sea-levels/</w:t>
      </w:r>
    </w:p>
  </w:footnote>
  <w:footnote w:id="3">
    <w:p w14:paraId="2B51CA7F" w14:textId="77777777" w:rsidR="00C54F72" w:rsidRDefault="00C54F72">
      <w:pPr>
        <w:pStyle w:val="FootnoteText"/>
      </w:pPr>
      <w:r>
        <w:rPr>
          <w:rStyle w:val="FootnoteReference"/>
        </w:rPr>
        <w:footnoteRef/>
      </w:r>
      <w:r>
        <w:t xml:space="preserve"> </w:t>
      </w:r>
      <w:r w:rsidRPr="00C54F72">
        <w:t>https://www.reuters.com/business/energy/texas-tops-us-states-renewable-energy-battery-capacity-maguire-2025-01-09/</w:t>
      </w:r>
    </w:p>
  </w:footnote>
  <w:footnote w:id="4">
    <w:p w14:paraId="7BD23BA8" w14:textId="77777777" w:rsidR="00C54F72" w:rsidRDefault="00C54F72">
      <w:pPr>
        <w:pStyle w:val="FootnoteText"/>
      </w:pPr>
      <w:r>
        <w:rPr>
          <w:rStyle w:val="FootnoteReference"/>
        </w:rPr>
        <w:footnoteRef/>
      </w:r>
      <w:r>
        <w:t xml:space="preserve"> </w:t>
      </w:r>
      <w:r w:rsidRPr="00C54F72">
        <w:t>https://coloradosun.com/2026/04/10/colorado-renewable-energy/</w:t>
      </w:r>
    </w:p>
  </w:footnote>
  <w:footnote w:id="5">
    <w:p w14:paraId="4B478DD9" w14:textId="77777777" w:rsidR="00C54F72" w:rsidRDefault="00C54F72">
      <w:pPr>
        <w:pStyle w:val="FootnoteText"/>
      </w:pPr>
      <w:r>
        <w:rPr>
          <w:rStyle w:val="FootnoteReference"/>
        </w:rPr>
        <w:footnoteRef/>
      </w:r>
      <w:r>
        <w:t xml:space="preserve"> </w:t>
      </w:r>
      <w:r w:rsidRPr="00C54F72">
        <w:t>https://www.kxnet.com/north-dakota-news/north-dakotas-renewable-energy-share-soars-report/</w:t>
      </w:r>
    </w:p>
  </w:footnote>
  <w:footnote w:id="6">
    <w:p w14:paraId="13199461" w14:textId="77777777" w:rsidR="00EF3050" w:rsidRDefault="00EF3050">
      <w:pPr>
        <w:pStyle w:val="FootnoteText"/>
      </w:pPr>
      <w:r>
        <w:rPr>
          <w:rStyle w:val="FootnoteReference"/>
        </w:rPr>
        <w:footnoteRef/>
      </w:r>
      <w:r>
        <w:t xml:space="preserve"> </w:t>
      </w:r>
      <w:r w:rsidRPr="00EF3050">
        <w:t>https://www.americanforests.org/article/american-forests-national-tree-equity-movement-reaches-1000-u-s-communities/</w:t>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93E"/>
    <w:rsid w:val="001928C3"/>
    <w:rsid w:val="001B5601"/>
    <w:rsid w:val="00225109"/>
    <w:rsid w:val="003C4BEC"/>
    <w:rsid w:val="0042749E"/>
    <w:rsid w:val="00512FBA"/>
    <w:rsid w:val="005A693E"/>
    <w:rsid w:val="005B7B4C"/>
    <w:rsid w:val="005C1D23"/>
    <w:rsid w:val="00697D0B"/>
    <w:rsid w:val="006C0ED2"/>
    <w:rsid w:val="006F7E42"/>
    <w:rsid w:val="00717959"/>
    <w:rsid w:val="009B729A"/>
    <w:rsid w:val="00B60034"/>
    <w:rsid w:val="00C54F72"/>
    <w:rsid w:val="00DF2FD9"/>
    <w:rsid w:val="00EF3050"/>
    <w:rsid w:val="00F54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D1C90A"/>
  <w15:chartTrackingRefBased/>
  <w15:docId w15:val="{B55B7C4A-63FF-8941-9FF3-80C7DCD67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Theme="minorHAnsi" w:hAnsi="Cambria" w:cs="Times New Roman (Body CS)"/>
        <w:i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69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69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693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693E"/>
    <w:pPr>
      <w:keepNext/>
      <w:keepLines/>
      <w:spacing w:before="80" w:after="40"/>
      <w:outlineLvl w:val="3"/>
    </w:pPr>
    <w:rPr>
      <w:rFonts w:asciiTheme="minorHAnsi" w:eastAsiaTheme="majorEastAsia" w:hAnsiTheme="minorHAnsi" w:cstheme="majorBidi"/>
      <w:i/>
      <w:iCs w:val="0"/>
      <w:color w:val="2F5496" w:themeColor="accent1" w:themeShade="BF"/>
    </w:rPr>
  </w:style>
  <w:style w:type="paragraph" w:styleId="Heading5">
    <w:name w:val="heading 5"/>
    <w:basedOn w:val="Normal"/>
    <w:next w:val="Normal"/>
    <w:link w:val="Heading5Char"/>
    <w:uiPriority w:val="9"/>
    <w:semiHidden/>
    <w:unhideWhenUsed/>
    <w:qFormat/>
    <w:rsid w:val="005A693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A693E"/>
    <w:pPr>
      <w:keepNext/>
      <w:keepLines/>
      <w:spacing w:before="40"/>
      <w:outlineLvl w:val="5"/>
    </w:pPr>
    <w:rPr>
      <w:rFonts w:asciiTheme="minorHAnsi" w:eastAsiaTheme="majorEastAsia" w:hAnsiTheme="minorHAnsi" w:cstheme="majorBidi"/>
      <w:i/>
      <w:iCs w:val="0"/>
      <w:color w:val="595959" w:themeColor="text1" w:themeTint="A6"/>
    </w:rPr>
  </w:style>
  <w:style w:type="paragraph" w:styleId="Heading7">
    <w:name w:val="heading 7"/>
    <w:basedOn w:val="Normal"/>
    <w:next w:val="Normal"/>
    <w:link w:val="Heading7Char"/>
    <w:uiPriority w:val="9"/>
    <w:semiHidden/>
    <w:unhideWhenUsed/>
    <w:qFormat/>
    <w:rsid w:val="005A693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A693E"/>
    <w:pPr>
      <w:keepNext/>
      <w:keepLines/>
      <w:outlineLvl w:val="7"/>
    </w:pPr>
    <w:rPr>
      <w:rFonts w:asciiTheme="minorHAnsi" w:eastAsiaTheme="majorEastAsia" w:hAnsiTheme="minorHAnsi" w:cstheme="majorBidi"/>
      <w:i/>
      <w:iCs w:val="0"/>
      <w:color w:val="272727" w:themeColor="text1" w:themeTint="D8"/>
    </w:rPr>
  </w:style>
  <w:style w:type="paragraph" w:styleId="Heading9">
    <w:name w:val="heading 9"/>
    <w:basedOn w:val="Normal"/>
    <w:next w:val="Normal"/>
    <w:link w:val="Heading9Char"/>
    <w:uiPriority w:val="9"/>
    <w:semiHidden/>
    <w:unhideWhenUsed/>
    <w:qFormat/>
    <w:rsid w:val="005A693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69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69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693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693E"/>
    <w:rPr>
      <w:rFonts w:asciiTheme="minorHAnsi" w:eastAsiaTheme="majorEastAsia" w:hAnsiTheme="minorHAnsi" w:cstheme="majorBidi"/>
      <w:i/>
      <w:iCs w:val="0"/>
      <w:color w:val="2F5496" w:themeColor="accent1" w:themeShade="BF"/>
    </w:rPr>
  </w:style>
  <w:style w:type="character" w:customStyle="1" w:styleId="Heading5Char">
    <w:name w:val="Heading 5 Char"/>
    <w:basedOn w:val="DefaultParagraphFont"/>
    <w:link w:val="Heading5"/>
    <w:uiPriority w:val="9"/>
    <w:semiHidden/>
    <w:rsid w:val="005A693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A693E"/>
    <w:rPr>
      <w:rFonts w:asciiTheme="minorHAnsi" w:eastAsiaTheme="majorEastAsia" w:hAnsiTheme="minorHAnsi" w:cstheme="majorBidi"/>
      <w:i/>
      <w:iCs w:val="0"/>
      <w:color w:val="595959" w:themeColor="text1" w:themeTint="A6"/>
    </w:rPr>
  </w:style>
  <w:style w:type="character" w:customStyle="1" w:styleId="Heading7Char">
    <w:name w:val="Heading 7 Char"/>
    <w:basedOn w:val="DefaultParagraphFont"/>
    <w:link w:val="Heading7"/>
    <w:uiPriority w:val="9"/>
    <w:semiHidden/>
    <w:rsid w:val="005A693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A693E"/>
    <w:rPr>
      <w:rFonts w:asciiTheme="minorHAnsi" w:eastAsiaTheme="majorEastAsia" w:hAnsiTheme="minorHAnsi" w:cstheme="majorBidi"/>
      <w:i/>
      <w:iCs w:val="0"/>
      <w:color w:val="272727" w:themeColor="text1" w:themeTint="D8"/>
    </w:rPr>
  </w:style>
  <w:style w:type="character" w:customStyle="1" w:styleId="Heading9Char">
    <w:name w:val="Heading 9 Char"/>
    <w:basedOn w:val="DefaultParagraphFont"/>
    <w:link w:val="Heading9"/>
    <w:uiPriority w:val="9"/>
    <w:semiHidden/>
    <w:rsid w:val="005A693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A69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69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693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693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A693E"/>
    <w:pPr>
      <w:spacing w:before="160" w:after="160"/>
      <w:jc w:val="center"/>
    </w:pPr>
    <w:rPr>
      <w:i/>
      <w:iCs w:val="0"/>
      <w:color w:val="404040" w:themeColor="text1" w:themeTint="BF"/>
    </w:rPr>
  </w:style>
  <w:style w:type="character" w:customStyle="1" w:styleId="QuoteChar">
    <w:name w:val="Quote Char"/>
    <w:basedOn w:val="DefaultParagraphFont"/>
    <w:link w:val="Quote"/>
    <w:uiPriority w:val="29"/>
    <w:rsid w:val="005A693E"/>
    <w:rPr>
      <w:i/>
      <w:iCs w:val="0"/>
      <w:color w:val="404040" w:themeColor="text1" w:themeTint="BF"/>
    </w:rPr>
  </w:style>
  <w:style w:type="paragraph" w:styleId="ListParagraph">
    <w:name w:val="List Paragraph"/>
    <w:basedOn w:val="Normal"/>
    <w:uiPriority w:val="34"/>
    <w:qFormat/>
    <w:rsid w:val="005A693E"/>
    <w:pPr>
      <w:ind w:left="720"/>
      <w:contextualSpacing/>
    </w:pPr>
  </w:style>
  <w:style w:type="character" w:styleId="IntenseEmphasis">
    <w:name w:val="Intense Emphasis"/>
    <w:basedOn w:val="DefaultParagraphFont"/>
    <w:uiPriority w:val="21"/>
    <w:qFormat/>
    <w:rsid w:val="005A693E"/>
    <w:rPr>
      <w:i/>
      <w:iCs w:val="0"/>
      <w:color w:val="2F5496" w:themeColor="accent1" w:themeShade="BF"/>
    </w:rPr>
  </w:style>
  <w:style w:type="paragraph" w:styleId="IntenseQuote">
    <w:name w:val="Intense Quote"/>
    <w:basedOn w:val="Normal"/>
    <w:next w:val="Normal"/>
    <w:link w:val="IntenseQuoteChar"/>
    <w:uiPriority w:val="30"/>
    <w:qFormat/>
    <w:rsid w:val="005A693E"/>
    <w:pPr>
      <w:pBdr>
        <w:top w:val="single" w:sz="4" w:space="10" w:color="2F5496" w:themeColor="accent1" w:themeShade="BF"/>
        <w:bottom w:val="single" w:sz="4" w:space="10" w:color="2F5496" w:themeColor="accent1" w:themeShade="BF"/>
      </w:pBdr>
      <w:spacing w:before="360" w:after="360"/>
      <w:ind w:left="864" w:right="864"/>
      <w:jc w:val="center"/>
    </w:pPr>
    <w:rPr>
      <w:i/>
      <w:iCs w:val="0"/>
      <w:color w:val="2F5496" w:themeColor="accent1" w:themeShade="BF"/>
    </w:rPr>
  </w:style>
  <w:style w:type="character" w:customStyle="1" w:styleId="IntenseQuoteChar">
    <w:name w:val="Intense Quote Char"/>
    <w:basedOn w:val="DefaultParagraphFont"/>
    <w:link w:val="IntenseQuote"/>
    <w:uiPriority w:val="30"/>
    <w:rsid w:val="005A693E"/>
    <w:rPr>
      <w:i/>
      <w:iCs w:val="0"/>
      <w:color w:val="2F5496" w:themeColor="accent1" w:themeShade="BF"/>
    </w:rPr>
  </w:style>
  <w:style w:type="character" w:styleId="IntenseReference">
    <w:name w:val="Intense Reference"/>
    <w:basedOn w:val="DefaultParagraphFont"/>
    <w:uiPriority w:val="32"/>
    <w:qFormat/>
    <w:rsid w:val="005A693E"/>
    <w:rPr>
      <w:b/>
      <w:bCs/>
      <w:smallCaps/>
      <w:color w:val="2F5496" w:themeColor="accent1" w:themeShade="BF"/>
      <w:spacing w:val="5"/>
    </w:rPr>
  </w:style>
  <w:style w:type="paragraph" w:styleId="FootnoteText">
    <w:name w:val="footnote text"/>
    <w:basedOn w:val="Normal"/>
    <w:link w:val="FootnoteTextChar"/>
    <w:uiPriority w:val="99"/>
    <w:semiHidden/>
    <w:unhideWhenUsed/>
    <w:rsid w:val="00DF2FD9"/>
    <w:rPr>
      <w:sz w:val="20"/>
      <w:szCs w:val="20"/>
    </w:rPr>
  </w:style>
  <w:style w:type="character" w:customStyle="1" w:styleId="FootnoteTextChar">
    <w:name w:val="Footnote Text Char"/>
    <w:basedOn w:val="DefaultParagraphFont"/>
    <w:link w:val="FootnoteText"/>
    <w:uiPriority w:val="99"/>
    <w:semiHidden/>
    <w:rsid w:val="00DF2FD9"/>
    <w:rPr>
      <w:sz w:val="20"/>
      <w:szCs w:val="20"/>
    </w:rPr>
  </w:style>
  <w:style w:type="character" w:styleId="FootnoteReference">
    <w:name w:val="footnote reference"/>
    <w:basedOn w:val="DefaultParagraphFont"/>
    <w:uiPriority w:val="99"/>
    <w:semiHidden/>
    <w:unhideWhenUsed/>
    <w:rsid w:val="00DF2F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1622</Words>
  <Characters>7450</Characters>
  <Application>Microsoft Office Word</Application>
  <DocSecurity>0</DocSecurity>
  <Lines>114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Ramsey</dc:creator>
  <cp:keywords/>
  <dc:description/>
  <cp:lastModifiedBy>Amelia Townsend</cp:lastModifiedBy>
  <cp:revision>2</cp:revision>
  <dcterms:created xsi:type="dcterms:W3CDTF">2026-07-09T13:25:00Z</dcterms:created>
  <dcterms:modified xsi:type="dcterms:W3CDTF">2026-07-09T13:25:00Z</dcterms:modified>
</cp:coreProperties>
</file>